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80" w:after="80"/>
        <w:jc w:val="center"/>
      </w:pPr>
      <w:r>
        <w:rPr>
          <w:rFonts w:ascii="Segoe UI" w:hAnsi="Segoe UI"/>
          <w:b/>
          <w:color w:val="1E3A8A"/>
          <w:sz w:val="60"/>
        </w:rPr>
        <w:t>FynAccounts ERP</w:t>
      </w:r>
    </w:p>
    <w:p>
      <w:pPr>
        <w:spacing w:after="320"/>
        <w:jc w:val="center"/>
      </w:pPr>
      <w:r>
        <w:rPr>
          <w:rFonts w:ascii="Segoe UI" w:hAnsi="Segoe UI"/>
          <w:color w:val="475569"/>
          <w:sz w:val="30"/>
        </w:rPr>
        <w:t>Complete Installation Guide &amp; Enterprise User Manual</w:t>
      </w:r>
    </w:p>
    <w:p>
      <w:pPr>
        <w:spacing w:after="400"/>
        <w:jc w:val="center"/>
      </w:pPr>
      <w:r>
        <w:rPr>
          <w:rFonts w:ascii="Segoe UI" w:hAnsi="Segoe UI"/>
          <w:i/>
          <w:color w:val="64748B"/>
          <w:sz w:val="20"/>
        </w:rPr>
        <w:t>Version 2.4.0 (Enterprise Commercial Release) | Document Edition: September 2026</w:t>
        <w:br/>
        <w:t>Designed &amp; Developed by Codefyn Software Solutions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48"/>
      </w:tblGrid>
      <w:tr>
        <w:tc>
          <w:tcPr>
            <w:tcW w:type="dxa" w:w="9360"/>
            <w:shd w:fill="FEF2F2"/>
            <w:tcMar>
              <w:top w:w="160" w:type="dxa"/>
              <w:bottom w:w="160" w:type="dxa"/>
              <w:left w:w="240" w:type="dxa"/>
              <w:right w:w="200" w:type="dxa"/>
            </w:tcMar>
            <w:tcBorders>
              <w:top w:val="none"/>
              <w:left w:val="single" w:sz="36" w:space="0" w:color="DC2626"/>
              <w:bottom w:val="none"/>
              <w:right w:val="none"/>
            </w:tcBorders>
          </w:tcPr>
          <w:p>
            <w:pPr>
              <w:spacing w:before="40" w:after="40"/>
            </w:pPr>
            <w:r>
              <w:rPr>
                <w:rFonts w:ascii="Segoe UI" w:hAnsi="Segoe UI"/>
                <w:b/>
                <w:color w:val="DC2626"/>
                <w:sz w:val="20"/>
              </w:rPr>
              <w:t xml:space="preserve">[OFFICIAL VIDEO DEMO &amp; WALKTHROUGH] </w:t>
            </w:r>
            <w:r>
              <w:rPr>
                <w:rFonts w:ascii="Segoe UI" w:hAnsi="Segoe UI"/>
                <w:color w:val="1E293B"/>
                <w:sz w:val="19"/>
              </w:rPr>
              <w:t>Watch our official step-by-step video demonstration and software walkthrough:</w:t>
              <w:br/>
              <w:t>▶ YouTube Demo: https://www.youtube.com/watch?v=on67_ULgRO0</w:t>
              <w:br/>
              <w:t>Learn complete GST invoicing, double-entry accounting, stock ledgers, and cloud backup setup in action.</w:t>
            </w:r>
          </w:p>
        </w:tc>
      </w:tr>
    </w:tbl>
    <w:p>
      <w:pPr>
        <w:spacing w:before="0" w:after="8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48"/>
      </w:tblGrid>
      <w:tr>
        <w:tc>
          <w:tcPr>
            <w:tcW w:type="dxa" w:w="9360"/>
            <w:shd w:fill="F0FDF4"/>
            <w:tcMar>
              <w:top w:w="160" w:type="dxa"/>
              <w:bottom w:w="160" w:type="dxa"/>
              <w:left w:w="240" w:type="dxa"/>
              <w:right w:w="200" w:type="dxa"/>
            </w:tcMar>
            <w:tcBorders>
              <w:top w:val="none"/>
              <w:left w:val="single" w:sz="36" w:space="0" w:color="1E3A8A"/>
              <w:bottom w:val="none"/>
              <w:right w:val="none"/>
            </w:tcBorders>
          </w:tcPr>
          <w:p>
            <w:pPr>
              <w:spacing w:before="40" w:after="40"/>
            </w:pPr>
            <w:r>
              <w:rPr>
                <w:rFonts w:ascii="Segoe UI" w:hAnsi="Segoe UI"/>
                <w:b/>
                <w:color w:val="1E3A8A"/>
                <w:sz w:val="20"/>
              </w:rPr>
              <w:t xml:space="preserve">[EXECUTIVE OVERVIEW] </w:t>
            </w:r>
            <w:r>
              <w:rPr>
                <w:rFonts w:ascii="Segoe UI" w:hAnsi="Segoe UI"/>
                <w:color w:val="1E293B"/>
                <w:sz w:val="19"/>
              </w:rPr>
              <w:t>This official documentation provides full end-to-end instructions for deploying, configuring, and operating FynAccounts ERP. It includes initial installation, default administrator credentials, accounting workflows, Google Drive automated backups, and online/offline license activation.</w:t>
            </w:r>
          </w:p>
        </w:tc>
      </w:tr>
    </w:tbl>
    <w:p>
      <w:pPr>
        <w:spacing w:before="0" w:after="80"/>
      </w:pPr>
    </w:p>
    <w:p>
      <w:pPr>
        <w:pStyle w:val="Heading1"/>
        <w:spacing w:before="320"/>
      </w:pPr>
      <w:r>
        <w:t>1. Quick Access &amp; Default Credentials</w:t>
      </w:r>
    </w:p>
    <w:p>
      <w:r>
        <w:t>Immediately after installation, you can log in to FynAccounts ERP using the built-in Master Administrator account: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24"/>
        <w:gridCol w:w="4824"/>
      </w:tblGrid>
      <w:tr>
        <w:tc>
          <w:tcPr>
            <w:tcW w:type="dxa" w:w="3600"/>
            <w:shd w:fill="1E3A8A"/>
            <w:tcMar>
              <w:top w:w="160" w:type="dxa"/>
              <w:bottom w:w="160" w:type="dxa"/>
              <w:left w:w="180" w:type="dxa"/>
              <w:right w:w="180" w:type="dxa"/>
            </w:tcMar>
          </w:tcPr>
          <w:p>
            <w:pPr>
              <w:jc w:val="left"/>
            </w:pPr>
            <w:r>
              <w:rPr>
                <w:rFonts w:ascii="Segoe UI" w:hAnsi="Segoe UI"/>
                <w:b/>
                <w:color w:val="FFFFFF"/>
                <w:sz w:val="19"/>
              </w:rPr>
              <w:t>Parameter</w:t>
            </w:r>
          </w:p>
        </w:tc>
        <w:tc>
          <w:tcPr>
            <w:tcW w:type="dxa" w:w="5760"/>
            <w:shd w:fill="1E3A8A"/>
            <w:tcMar>
              <w:top w:w="160" w:type="dxa"/>
              <w:bottom w:w="160" w:type="dxa"/>
              <w:left w:w="180" w:type="dxa"/>
              <w:right w:w="180" w:type="dxa"/>
            </w:tcMar>
          </w:tcPr>
          <w:p>
            <w:pPr>
              <w:jc w:val="left"/>
            </w:pPr>
            <w:r>
              <w:rPr>
                <w:rFonts w:ascii="Segoe UI" w:hAnsi="Segoe UI"/>
                <w:b/>
                <w:color w:val="FFFFFF"/>
                <w:sz w:val="19"/>
              </w:rPr>
              <w:t>Default Value / Details</w:t>
            </w:r>
          </w:p>
        </w:tc>
      </w:tr>
      <w:tr>
        <w:tc>
          <w:tcPr>
            <w:tcW w:type="dxa" w:w="3600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Default Username</w:t>
            </w:r>
          </w:p>
        </w:tc>
        <w:tc>
          <w:tcPr>
            <w:tcW w:type="dxa" w:w="5760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admin</w:t>
            </w:r>
          </w:p>
        </w:tc>
      </w:tr>
      <w:tr>
        <w:tc>
          <w:tcPr>
            <w:tcW w:type="dxa" w:w="3600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Default Password</w:t>
            </w:r>
          </w:p>
        </w:tc>
        <w:tc>
          <w:tcPr>
            <w:tcW w:type="dxa" w:w="5760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admin</w:t>
            </w:r>
          </w:p>
        </w:tc>
      </w:tr>
      <w:tr>
        <w:tc>
          <w:tcPr>
            <w:tcW w:type="dxa" w:w="3600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Access Role</w:t>
            </w:r>
          </w:p>
        </w:tc>
        <w:tc>
          <w:tcPr>
            <w:tcW w:type="dxa" w:w="5760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Super Administrator (Full System &amp; Financial Access)</w:t>
            </w:r>
          </w:p>
        </w:tc>
      </w:tr>
      <w:tr>
        <w:tc>
          <w:tcPr>
            <w:tcW w:type="dxa" w:w="3600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Official Video Demo</w:t>
            </w:r>
          </w:p>
        </w:tc>
        <w:tc>
          <w:tcPr>
            <w:tcW w:type="dxa" w:w="5760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https://www.youtube.com/watch?v=on67_ULgRO0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648"/>
      </w:tblGrid>
      <w:tr>
        <w:tc>
          <w:tcPr>
            <w:tcW w:type="dxa" w:w="9360"/>
            <w:shd w:fill="FEF2F2"/>
            <w:tcMar>
              <w:top w:w="160" w:type="dxa"/>
              <w:bottom w:w="160" w:type="dxa"/>
              <w:left w:w="240" w:type="dxa"/>
              <w:right w:w="200" w:type="dxa"/>
            </w:tcMar>
            <w:tcBorders>
              <w:top w:val="none"/>
              <w:left w:val="single" w:sz="36" w:space="0" w:color="DC2626"/>
              <w:bottom w:val="none"/>
              <w:right w:val="none"/>
            </w:tcBorders>
          </w:tcPr>
          <w:p>
            <w:pPr>
              <w:spacing w:before="40" w:after="40"/>
            </w:pPr>
            <w:r>
              <w:rPr>
                <w:rFonts w:ascii="Segoe UI" w:hAnsi="Segoe UI"/>
                <w:b/>
                <w:color w:val="DC2626"/>
                <w:sz w:val="20"/>
              </w:rPr>
              <w:t xml:space="preserve">[SECURITY RECOMMENDATION] </w:t>
            </w:r>
            <w:r>
              <w:rPr>
                <w:rFonts w:ascii="Segoe UI" w:hAnsi="Segoe UI"/>
                <w:color w:val="1E293B"/>
                <w:sz w:val="19"/>
              </w:rPr>
              <w:t>For business security, navigate to 'Security Settings' -&gt; 'User Management' after your first login and update the administrator password.</w:t>
            </w:r>
          </w:p>
        </w:tc>
      </w:tr>
    </w:tbl>
    <w:p>
      <w:pPr>
        <w:spacing w:before="0" w:after="80"/>
      </w:pPr>
    </w:p>
    <w:p>
      <w:pPr>
        <w:pStyle w:val="Heading1"/>
        <w:spacing w:before="320"/>
      </w:pPr>
      <w:r>
        <w:t>2. System Requirements &amp; Hardware Specifications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16"/>
        <w:gridCol w:w="3216"/>
        <w:gridCol w:w="3216"/>
      </w:tblGrid>
      <w:tr>
        <w:tc>
          <w:tcPr>
            <w:tcW w:type="dxa" w:w="2880"/>
            <w:shd w:fill="334155"/>
            <w:tcMar>
              <w:top w:w="160" w:type="dxa"/>
              <w:bottom w:w="160" w:type="dxa"/>
              <w:left w:w="180" w:type="dxa"/>
              <w:right w:w="180" w:type="dxa"/>
            </w:tcMar>
          </w:tcPr>
          <w:p>
            <w:pPr>
              <w:jc w:val="left"/>
            </w:pPr>
            <w:r>
              <w:rPr>
                <w:rFonts w:ascii="Segoe UI" w:hAnsi="Segoe UI"/>
                <w:b/>
                <w:color w:val="FFFFFF"/>
                <w:sz w:val="19"/>
              </w:rPr>
              <w:t>Component</w:t>
            </w:r>
          </w:p>
        </w:tc>
        <w:tc>
          <w:tcPr>
            <w:tcW w:type="dxa" w:w="3168"/>
            <w:shd w:fill="334155"/>
            <w:tcMar>
              <w:top w:w="160" w:type="dxa"/>
              <w:bottom w:w="160" w:type="dxa"/>
              <w:left w:w="180" w:type="dxa"/>
              <w:right w:w="180" w:type="dxa"/>
            </w:tcMar>
          </w:tcPr>
          <w:p>
            <w:pPr>
              <w:jc w:val="left"/>
            </w:pPr>
            <w:r>
              <w:rPr>
                <w:rFonts w:ascii="Segoe UI" w:hAnsi="Segoe UI"/>
                <w:b/>
                <w:color w:val="FFFFFF"/>
                <w:sz w:val="19"/>
              </w:rPr>
              <w:t>Minimum Requirement</w:t>
            </w:r>
          </w:p>
        </w:tc>
        <w:tc>
          <w:tcPr>
            <w:tcW w:type="dxa" w:w="3312"/>
            <w:shd w:fill="334155"/>
            <w:tcMar>
              <w:top w:w="160" w:type="dxa"/>
              <w:bottom w:w="160" w:type="dxa"/>
              <w:left w:w="180" w:type="dxa"/>
              <w:right w:w="180" w:type="dxa"/>
            </w:tcMar>
          </w:tcPr>
          <w:p>
            <w:pPr>
              <w:jc w:val="left"/>
            </w:pPr>
            <w:r>
              <w:rPr>
                <w:rFonts w:ascii="Segoe UI" w:hAnsi="Segoe UI"/>
                <w:b/>
                <w:color w:val="FFFFFF"/>
                <w:sz w:val="19"/>
              </w:rPr>
              <w:t>Recommended Specification</w:t>
            </w:r>
          </w:p>
        </w:tc>
      </w:tr>
      <w:tr>
        <w:tc>
          <w:tcPr>
            <w:tcW w:type="dxa" w:w="2880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Operating System</w:t>
            </w:r>
          </w:p>
        </w:tc>
        <w:tc>
          <w:tcPr>
            <w:tcW w:type="dxa" w:w="3168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Windows 10 64-bit (Build 19041+)</w:t>
            </w:r>
          </w:p>
        </w:tc>
        <w:tc>
          <w:tcPr>
            <w:tcW w:type="dxa" w:w="3312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Windows 11 64-bit / Windows Server 2022</w:t>
            </w:r>
          </w:p>
        </w:tc>
      </w:tr>
      <w:tr>
        <w:tc>
          <w:tcPr>
            <w:tcW w:type="dxa" w:w="2880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Processor (CPU)</w:t>
            </w:r>
          </w:p>
        </w:tc>
        <w:tc>
          <w:tcPr>
            <w:tcW w:type="dxa" w:w="3168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Intel Core i3 (4th Gen) / AMD Ryzen 3</w:t>
            </w:r>
          </w:p>
        </w:tc>
        <w:tc>
          <w:tcPr>
            <w:tcW w:type="dxa" w:w="3312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Intel Core i5 (8th Gen+) / AMD Ryzen 5</w:t>
            </w:r>
          </w:p>
        </w:tc>
      </w:tr>
      <w:tr>
        <w:tc>
          <w:tcPr>
            <w:tcW w:type="dxa" w:w="2880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RAM / Memory</w:t>
            </w:r>
          </w:p>
        </w:tc>
        <w:tc>
          <w:tcPr>
            <w:tcW w:type="dxa" w:w="3168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4 GB RAM</w:t>
            </w:r>
          </w:p>
        </w:tc>
        <w:tc>
          <w:tcPr>
            <w:tcW w:type="dxa" w:w="3312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8 GB to 16 GB DDR4/DDR5 RAM</w:t>
            </w:r>
          </w:p>
        </w:tc>
      </w:tr>
      <w:tr>
        <w:tc>
          <w:tcPr>
            <w:tcW w:type="dxa" w:w="2880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Storage / Disk</w:t>
            </w:r>
          </w:p>
        </w:tc>
        <w:tc>
          <w:tcPr>
            <w:tcW w:type="dxa" w:w="3168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500 MB free disk space</w:t>
            </w:r>
          </w:p>
        </w:tc>
        <w:tc>
          <w:tcPr>
            <w:tcW w:type="dxa" w:w="3312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Fast SSD NVMe with 2 GB+ space for backups</w:t>
            </w:r>
          </w:p>
        </w:tc>
      </w:tr>
      <w:tr>
        <w:tc>
          <w:tcPr>
            <w:tcW w:type="dxa" w:w="2880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Display Resolution</w:t>
            </w:r>
          </w:p>
        </w:tc>
        <w:tc>
          <w:tcPr>
            <w:tcW w:type="dxa" w:w="3168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1280 x 720 (Standard HD)</w:t>
            </w:r>
          </w:p>
        </w:tc>
        <w:tc>
          <w:tcPr>
            <w:tcW w:type="dxa" w:w="3312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1920 x 1080 (Full HD, 100% or 125% DPI scale)</w:t>
            </w:r>
          </w:p>
        </w:tc>
      </w:tr>
    </w:tbl>
    <w:p>
      <w:pPr>
        <w:pStyle w:val="Heading1"/>
        <w:spacing w:before="320"/>
      </w:pPr>
      <w:r>
        <w:t>3. Step-by-Step Installation &amp; Setup Guide</w:t>
      </w:r>
    </w:p>
    <w:p>
      <w:pPr>
        <w:spacing w:before="80" w:after="40"/>
      </w:pPr>
      <w:r>
        <w:rPr>
          <w:b/>
          <w:color w:val="1E3A8A"/>
        </w:rPr>
        <w:t xml:space="preserve">• Step 1: Download / Extract Setup Files: </w:t>
      </w:r>
      <w:r>
        <w:t>Obtain the official FynAccounts ERP distribution folder (e.g. `FynAccounts_ERP/`) or installer setup package from Codefyn.</w:t>
      </w:r>
    </w:p>
    <w:p>
      <w:pPr>
        <w:spacing w:before="80" w:after="40"/>
      </w:pPr>
      <w:r>
        <w:rPr>
          <w:b/>
          <w:color w:val="1E3A8A"/>
        </w:rPr>
        <w:t xml:space="preserve">• Step 2: Windows Defender / SmartScreen Verification: </w:t>
      </w:r>
      <w:r>
        <w:t>If prompted by Windows SmartScreen with 'Windows protected your PC', click 'More info' and select 'Run anyway'.</w:t>
      </w:r>
    </w:p>
    <w:p>
      <w:pPr>
        <w:spacing w:before="80" w:after="40"/>
      </w:pPr>
      <w:r>
        <w:rPr>
          <w:b/>
          <w:color w:val="1E3A8A"/>
        </w:rPr>
        <w:t xml:space="preserve">• Step 3: Launching the Application: </w:t>
      </w:r>
      <w:r>
        <w:t>Double-click `FynAccounts_ERP.exe`. The application will initialize the secure embedded SQLite engine and open the Login screen.</w:t>
      </w:r>
    </w:p>
    <w:p>
      <w:pPr>
        <w:spacing w:before="80" w:after="40"/>
      </w:pPr>
      <w:r>
        <w:rPr>
          <w:b/>
          <w:color w:val="1E3A8A"/>
        </w:rPr>
        <w:t xml:space="preserve">• Step 4: Create Desktop Shortcut: </w:t>
      </w:r>
      <w:r>
        <w:t>Right-click `FynAccounts_ERP.exe` -&gt; Select 'Send to' -&gt; 'Desktop (create shortcut)' for easy daily launch.</w:t>
      </w:r>
    </w:p>
    <w:p>
      <w:pPr>
        <w:spacing w:before="80" w:after="40"/>
      </w:pPr>
      <w:r>
        <w:rPr>
          <w:b/>
          <w:color w:val="1E3A8A"/>
        </w:rPr>
        <w:t xml:space="preserve">• Step 5: First-Time Setup Wizard: </w:t>
      </w:r>
      <w:r>
        <w:t>Upon first launch, enter your Company Details (Company Name, GSTIN, Address, Financial Year starting April 1st).</w:t>
      </w:r>
    </w:p>
    <w:p>
      <w:pPr>
        <w:pStyle w:val="Heading1"/>
        <w:spacing w:before="320"/>
      </w:pPr>
      <w:r>
        <w:t>4. Comprehensive User Manual (Core Modules)</w:t>
      </w:r>
    </w:p>
    <w:p>
      <w:pPr>
        <w:spacing w:before="80" w:after="40"/>
      </w:pPr>
      <w:r>
        <w:rPr>
          <w:b/>
          <w:color w:val="0F172A"/>
          <w:sz w:val="22"/>
        </w:rPr>
        <w:t>4.1 Dashboard &amp; Financial Analytics</w:t>
        <w:br/>
      </w:r>
      <w:r>
        <w:rPr>
          <w:sz w:val="19"/>
        </w:rPr>
        <w:t>Provides real-time business health monitoring: Total Monthly Sales, Receivables, Payables, Net Profit, Stock Valuation, Low Stock Alerts, and Recent Transactions timeline.</w:t>
      </w:r>
    </w:p>
    <w:p>
      <w:pPr>
        <w:spacing w:before="80" w:after="40"/>
      </w:pPr>
      <w:r>
        <w:rPr>
          <w:b/>
          <w:color w:val="0F172A"/>
          <w:sz w:val="22"/>
        </w:rPr>
        <w:t>4.2 Chart of Accounts &amp; General Ledger</w:t>
        <w:br/>
      </w:r>
      <w:r>
        <w:rPr>
          <w:sz w:val="19"/>
        </w:rPr>
        <w:t>Standard double-entry accounting engine following Indian Accounting Standards (Ind AS). Manage Assets, Liabilities, Equity, Revenue, and Expenses. Automatic journal generation for every invoice and payment.</w:t>
      </w:r>
    </w:p>
    <w:p>
      <w:pPr>
        <w:spacing w:before="80" w:after="40"/>
      </w:pPr>
      <w:r>
        <w:rPr>
          <w:b/>
          <w:color w:val="0F172A"/>
          <w:sz w:val="22"/>
        </w:rPr>
        <w:t>4.3 Sales &amp; Invoicing (GST Compliant)</w:t>
        <w:br/>
      </w:r>
      <w:r>
        <w:rPr>
          <w:sz w:val="19"/>
        </w:rPr>
        <w:t>Create Quotations, Delivery Challans, and GST Tax Invoices. Supports multi-rate GST (0%, 5%, 12%, 18%, 28%), automatic CGST/SGST/IGST calculation, Dynamic UPI QR Code, Code128 Barcode, and PDF export with authorized stamp &amp; signature.</w:t>
      </w:r>
    </w:p>
    <w:p>
      <w:pPr>
        <w:spacing w:before="80" w:after="40"/>
      </w:pPr>
      <w:r>
        <w:rPr>
          <w:b/>
          <w:color w:val="0F172A"/>
          <w:sz w:val="22"/>
        </w:rPr>
        <w:t>4.4 Purchase Management &amp; Vendor Bills</w:t>
        <w:br/>
      </w:r>
      <w:r>
        <w:rPr>
          <w:sz w:val="19"/>
        </w:rPr>
        <w:t>Record Purchase Orders, Vendor Invoices, and Debit Notes. Automatic Input Tax Credit (ITC) tracking and vendor ledger balancing.</w:t>
      </w:r>
    </w:p>
    <w:p>
      <w:pPr>
        <w:spacing w:before="80" w:after="40"/>
      </w:pPr>
      <w:r>
        <w:rPr>
          <w:b/>
          <w:color w:val="0F172A"/>
          <w:sz w:val="22"/>
        </w:rPr>
        <w:t>4.5 Inventory &amp; Warehouse Management</w:t>
        <w:br/>
      </w:r>
      <w:r>
        <w:rPr>
          <w:sz w:val="19"/>
        </w:rPr>
        <w:t>Multi-warehouse stock ledger, item barcode generation, HSN/SAC code mapping, FIFO &amp; Weighted Average stock valuation, batch tracking, and automated reorder notifications.</w:t>
      </w:r>
    </w:p>
    <w:p>
      <w:pPr>
        <w:spacing w:before="80" w:after="40"/>
      </w:pPr>
      <w:r>
        <w:rPr>
          <w:b/>
          <w:color w:val="0F172A"/>
          <w:sz w:val="22"/>
        </w:rPr>
        <w:t>4.6 Banking, Payments &amp; Cash Register</w:t>
        <w:br/>
      </w:r>
      <w:r>
        <w:rPr>
          <w:sz w:val="19"/>
        </w:rPr>
        <w:t>Bank accounts management, Cash-in-hand register, Cheque tracking with clearance status, Bank Reconciliation Statement (BRS), and Contra entries.</w:t>
      </w:r>
    </w:p>
    <w:p>
      <w:pPr>
        <w:spacing w:before="80" w:after="40"/>
      </w:pPr>
      <w:r>
        <w:rPr>
          <w:b/>
          <w:color w:val="0F172A"/>
          <w:sz w:val="22"/>
        </w:rPr>
        <w:t>4.7 Taxation &amp; GST Reports</w:t>
        <w:br/>
      </w:r>
      <w:r>
        <w:rPr>
          <w:sz w:val="19"/>
        </w:rPr>
        <w:t>One-click GSTR-1, GSTR-3B summary tables, HSN-wise sales summary, tax liability reports, and audit trail logs.</w:t>
      </w:r>
    </w:p>
    <w:p>
      <w:pPr>
        <w:spacing w:before="80" w:after="40"/>
      </w:pPr>
      <w:r>
        <w:rPr>
          <w:b/>
          <w:color w:val="0F172A"/>
          <w:sz w:val="22"/>
        </w:rPr>
        <w:t>4.8 Financial Statements &amp; Audit Reports</w:t>
        <w:br/>
      </w:r>
      <w:r>
        <w:rPr>
          <w:sz w:val="19"/>
        </w:rPr>
        <w:t>Instant Balance Sheet, Profit &amp; Loss Statement, Trial Balance, Cash Flow, Customer/Vendor Aging Reports, and Tamper-Evident Audit Logs.</w:t>
      </w:r>
    </w:p>
    <w:p>
      <w:pPr>
        <w:pStyle w:val="Heading1"/>
        <w:spacing w:before="320"/>
      </w:pPr>
      <w:r>
        <w:t>5. Automated Google Drive Cloud Backup &amp; Vault Encryption</w:t>
      </w:r>
    </w:p>
    <w:p>
      <w:r>
        <w:t>FynAccounts ERP includes enterprise-grade zero-knowledge cloud backup integration with Google Drive:</w:t>
      </w:r>
    </w:p>
    <w:p>
      <w:pPr>
        <w:spacing w:before="60" w:after="20"/>
      </w:pPr>
      <w:r>
        <w:rPr>
          <w:b/>
          <w:color w:val="15803D"/>
        </w:rPr>
        <w:t xml:space="preserve">• Zero-Knowledge AES-256 Encryption: </w:t>
      </w:r>
      <w:r>
        <w:t>All database files are encrypted locally with a customer-specific key before leaving your computer. Even cloud storage providers cannot inspect your financial records.</w:t>
      </w:r>
    </w:p>
    <w:p>
      <w:pPr>
        <w:spacing w:before="60" w:after="20"/>
      </w:pPr>
      <w:r>
        <w:rPr>
          <w:b/>
          <w:color w:val="15803D"/>
        </w:rPr>
        <w:t xml:space="preserve">• One-Click Google OAuth 2.0 Integration: </w:t>
      </w:r>
      <w:r>
        <w:t>Connect your company Google Drive account securely via Google OAuth 2.0 without entering raw passwords.</w:t>
      </w:r>
    </w:p>
    <w:p>
      <w:pPr>
        <w:spacing w:before="60" w:after="20"/>
      </w:pPr>
      <w:r>
        <w:rPr>
          <w:b/>
          <w:color w:val="15803D"/>
        </w:rPr>
        <w:t xml:space="preserve">• Automated Daily/Weekly Cloud Sync: </w:t>
      </w:r>
      <w:r>
        <w:t>Configurable automated background backups ensure zero data loss in case of hardware malfunction.</w:t>
      </w:r>
    </w:p>
    <w:p>
      <w:pPr>
        <w:spacing w:before="60" w:after="20"/>
      </w:pPr>
      <w:r>
        <w:rPr>
          <w:b/>
          <w:color w:val="15803D"/>
        </w:rPr>
        <w:t xml:space="preserve">• Safety Rollback &amp; Hot Checkpoint: </w:t>
      </w:r>
      <w:r>
        <w:t>Restoring a backup automatically creates a pre-restore safety snapshot to guarantee zero data loss.</w:t>
      </w:r>
    </w:p>
    <w:p>
      <w:pPr>
        <w:pStyle w:val="Heading1"/>
        <w:spacing w:before="320"/>
      </w:pPr>
      <w:r>
        <w:t>6. Subscription Plans &amp; License Activation</w:t>
      </w:r>
    </w:p>
    <w:p>
      <w:r>
        <w:t>Every new installation includes a 14-Day Full-Featured Free Trial. At any point during or after the trial, you can choose from our standard commercial plans: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12"/>
        <w:gridCol w:w="2412"/>
        <w:gridCol w:w="2412"/>
        <w:gridCol w:w="2412"/>
      </w:tblGrid>
      <w:tr>
        <w:tc>
          <w:tcPr>
            <w:tcW w:type="dxa" w:w="2592"/>
            <w:shd w:fill="1E3A8A"/>
            <w:tcMar>
              <w:top w:w="160" w:type="dxa"/>
              <w:bottom w:w="160" w:type="dxa"/>
              <w:left w:w="180" w:type="dxa"/>
              <w:right w:w="180" w:type="dxa"/>
            </w:tcMar>
          </w:tcPr>
          <w:p>
            <w:pPr>
              <w:jc w:val="left"/>
            </w:pPr>
            <w:r>
              <w:rPr>
                <w:rFonts w:ascii="Segoe UI" w:hAnsi="Segoe UI"/>
                <w:b/>
                <w:color w:val="FFFFFF"/>
                <w:sz w:val="19"/>
              </w:rPr>
              <w:t>Plan Name</w:t>
            </w:r>
          </w:p>
        </w:tc>
        <w:tc>
          <w:tcPr>
            <w:tcW w:type="dxa" w:w="1584"/>
            <w:shd w:fill="1E3A8A"/>
            <w:tcMar>
              <w:top w:w="160" w:type="dxa"/>
              <w:bottom w:w="160" w:type="dxa"/>
              <w:left w:w="180" w:type="dxa"/>
              <w:right w:w="180" w:type="dxa"/>
            </w:tcMar>
          </w:tcPr>
          <w:p>
            <w:pPr>
              <w:jc w:val="left"/>
            </w:pPr>
            <w:r>
              <w:rPr>
                <w:rFonts w:ascii="Segoe UI" w:hAnsi="Segoe UI"/>
                <w:b/>
                <w:color w:val="FFFFFF"/>
                <w:sz w:val="19"/>
              </w:rPr>
              <w:t>Billing Price</w:t>
            </w:r>
          </w:p>
        </w:tc>
        <w:tc>
          <w:tcPr>
            <w:tcW w:type="dxa" w:w="1728"/>
            <w:shd w:fill="1E3A8A"/>
            <w:tcMar>
              <w:top w:w="160" w:type="dxa"/>
              <w:bottom w:w="160" w:type="dxa"/>
              <w:left w:w="180" w:type="dxa"/>
              <w:right w:w="180" w:type="dxa"/>
            </w:tcMar>
          </w:tcPr>
          <w:p>
            <w:pPr>
              <w:jc w:val="left"/>
            </w:pPr>
            <w:r>
              <w:rPr>
                <w:rFonts w:ascii="Segoe UI" w:hAnsi="Segoe UI"/>
                <w:b/>
                <w:color w:val="FFFFFF"/>
                <w:sz w:val="19"/>
              </w:rPr>
              <w:t>Frequency</w:t>
            </w:r>
          </w:p>
        </w:tc>
        <w:tc>
          <w:tcPr>
            <w:tcW w:type="dxa" w:w="3456"/>
            <w:shd w:fill="1E3A8A"/>
            <w:tcMar>
              <w:top w:w="160" w:type="dxa"/>
              <w:bottom w:w="160" w:type="dxa"/>
              <w:left w:w="180" w:type="dxa"/>
              <w:right w:w="180" w:type="dxa"/>
            </w:tcMar>
          </w:tcPr>
          <w:p>
            <w:pPr>
              <w:jc w:val="left"/>
            </w:pPr>
            <w:r>
              <w:rPr>
                <w:rFonts w:ascii="Segoe UI" w:hAnsi="Segoe UI"/>
                <w:b/>
                <w:color w:val="FFFFFF"/>
                <w:sz w:val="19"/>
              </w:rPr>
              <w:t>Key Features Included</w:t>
            </w:r>
          </w:p>
        </w:tc>
      </w:tr>
      <w:tr>
        <w:tc>
          <w:tcPr>
            <w:tcW w:type="dxa" w:w="2592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Starter Monthly</w:t>
            </w:r>
          </w:p>
        </w:tc>
        <w:tc>
          <w:tcPr>
            <w:tcW w:type="dxa" w:w="1584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₹ 199</w:t>
            </w:r>
          </w:p>
        </w:tc>
        <w:tc>
          <w:tcPr>
            <w:tcW w:type="dxa" w:w="1728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Per Month</w:t>
            </w:r>
          </w:p>
        </w:tc>
        <w:tc>
          <w:tcPr>
            <w:tcW w:type="dxa" w:w="3456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Single Company, GST Invoicing, Cloud Backup, Standard Support</w:t>
            </w:r>
          </w:p>
        </w:tc>
      </w:tr>
      <w:tr>
        <w:tc>
          <w:tcPr>
            <w:tcW w:type="dxa" w:w="2592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Starter Yearly (Best Value)</w:t>
            </w:r>
          </w:p>
        </w:tc>
        <w:tc>
          <w:tcPr>
            <w:tcW w:type="dxa" w:w="1584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₹ 1,999</w:t>
            </w:r>
          </w:p>
        </w:tc>
        <w:tc>
          <w:tcPr>
            <w:tcW w:type="dxa" w:w="1728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Per Year (~₹166/mo)</w:t>
            </w:r>
          </w:p>
        </w:tc>
        <w:tc>
          <w:tcPr>
            <w:tcW w:type="dxa" w:w="3456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All Starter features + Multi-Company, Priority Updates &amp; Phone Support</w:t>
            </w:r>
          </w:p>
        </w:tc>
      </w:tr>
      <w:tr>
        <w:tc>
          <w:tcPr>
            <w:tcW w:type="dxa" w:w="2592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Starter Lifetime</w:t>
            </w:r>
          </w:p>
        </w:tc>
        <w:tc>
          <w:tcPr>
            <w:tcW w:type="dxa" w:w="1584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₹ 4,999</w:t>
            </w:r>
          </w:p>
        </w:tc>
        <w:tc>
          <w:tcPr>
            <w:tcW w:type="dxa" w:w="1728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One-Time (10 Yrs)</w:t>
            </w:r>
          </w:p>
        </w:tc>
        <w:tc>
          <w:tcPr>
            <w:tcW w:type="dxa" w:w="3456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All features, Lifetime Database License, Premium VIP Support</w:t>
            </w:r>
          </w:p>
        </w:tc>
      </w:tr>
    </w:tbl>
    <w:p>
      <w:pPr>
        <w:spacing w:before="160"/>
      </w:pPr>
      <w:r>
        <w:rPr>
          <w:b/>
        </w:rPr>
        <w:t>How to Renew / Upgrade your License:</w:t>
        <w:br/>
      </w:r>
      <w:r>
        <w:t>1. Navigate to the top navigation bar or menu and click 'Subscription' or 'Renew / Upgrade License'.</w:t>
        <w:br/>
      </w:r>
      <w:r>
        <w:t>2. Select your preferred subscription plan (Monthly, Yearly, or Lifetime).</w:t>
        <w:br/>
      </w:r>
      <w:r>
        <w:t>3. Click 'Pay Online with Razorpay' -&gt; A secure checkout window will open supporting UPI (GPay, PhonePe, Paytm), Credit/Debit Cards, NetBanking, and Wallets.</w:t>
        <w:br/>
      </w:r>
      <w:r>
        <w:t>4. Once payment succeeds, your license will activate immediately and automatically.</w:t>
        <w:br/>
      </w:r>
      <w:r>
        <w:t>5. (Offline Activation): If paid via direct bank transfer, enter the Razorpay Payment ID or UTR in the 'Verify Payment ID' field to activate instantly.</w:t>
      </w:r>
    </w:p>
    <w:p>
      <w:pPr>
        <w:pStyle w:val="Heading1"/>
        <w:spacing w:before="320"/>
      </w:pPr>
      <w:r>
        <w:t>7. Troubleshooting &amp; FAQ</w:t>
      </w:r>
    </w:p>
    <w:p>
      <w:pPr>
        <w:spacing w:before="80" w:after="40"/>
      </w:pPr>
      <w:r>
        <w:rPr>
          <w:b/>
          <w:color w:val="1E3A8A"/>
        </w:rPr>
        <w:t>Q1: What happens when my 14-day trial expires?</w:t>
        <w:br/>
      </w:r>
      <w:r>
        <w:t>Your financial records and database remain 100% safe. Financial transactions will be paused in read-only mode until a subscription plan is selected.</w:t>
      </w:r>
    </w:p>
    <w:p>
      <w:pPr>
        <w:spacing w:before="80" w:after="40"/>
      </w:pPr>
      <w:r>
        <w:rPr>
          <w:b/>
          <w:color w:val="1E3A8A"/>
        </w:rPr>
        <w:t>Q2: Can I use FynAccounts ERP without internet?</w:t>
        <w:br/>
      </w:r>
      <w:r>
        <w:t>Yes. FynAccounts ERP runs 100% locally on your PC. Internet is only required for Cloud Backup sync and online subscription renewals.</w:t>
      </w:r>
    </w:p>
    <w:p>
      <w:pPr>
        <w:spacing w:before="80" w:after="40"/>
      </w:pPr>
      <w:r>
        <w:rPr>
          <w:b/>
          <w:color w:val="1E3A8A"/>
        </w:rPr>
        <w:t>Q3: How do I transfer my data to a new computer?</w:t>
        <w:br/>
      </w:r>
      <w:r>
        <w:t>Create an encrypted backup from 'Backup &amp; Restore' -&gt; 'Export Local Backup' or sync to Google Drive. On the new PC, install FynAccounts ERP and select 'Restore Backup'.</w:t>
      </w:r>
    </w:p>
    <w:p>
      <w:pPr>
        <w:spacing w:before="80" w:after="40"/>
      </w:pPr>
      <w:r>
        <w:rPr>
          <w:b/>
          <w:color w:val="1E3A8A"/>
        </w:rPr>
        <w:t>Q4: Where is my data stored locally?</w:t>
        <w:br/>
      </w:r>
      <w:r>
        <w:t>Your SQLite database is stored securely in the application data folder (`data/enterprise_accounting.db`).</w:t>
      </w:r>
    </w:p>
    <w:p>
      <w:pPr>
        <w:pStyle w:val="Heading1"/>
        <w:spacing w:before="320"/>
      </w:pPr>
      <w:r>
        <w:t>8. Official Customer Support &amp; Helpline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24"/>
        <w:gridCol w:w="4824"/>
      </w:tblGrid>
      <w:tr>
        <w:tc>
          <w:tcPr>
            <w:tcW w:type="dxa" w:w="3600"/>
            <w:shd w:fill="1E3A8A"/>
            <w:tcMar>
              <w:top w:w="160" w:type="dxa"/>
              <w:bottom w:w="160" w:type="dxa"/>
              <w:left w:w="180" w:type="dxa"/>
              <w:right w:w="180" w:type="dxa"/>
            </w:tcMar>
          </w:tcPr>
          <w:p>
            <w:pPr>
              <w:jc w:val="left"/>
            </w:pPr>
            <w:r>
              <w:rPr>
                <w:rFonts w:ascii="Segoe UI" w:hAnsi="Segoe UI"/>
                <w:b/>
                <w:color w:val="FFFFFF"/>
                <w:sz w:val="19"/>
              </w:rPr>
              <w:t>Support Channel</w:t>
            </w:r>
          </w:p>
        </w:tc>
        <w:tc>
          <w:tcPr>
            <w:tcW w:type="dxa" w:w="5760"/>
            <w:shd w:fill="1E3A8A"/>
            <w:tcMar>
              <w:top w:w="160" w:type="dxa"/>
              <w:bottom w:w="160" w:type="dxa"/>
              <w:left w:w="180" w:type="dxa"/>
              <w:right w:w="180" w:type="dxa"/>
            </w:tcMar>
          </w:tcPr>
          <w:p>
            <w:pPr>
              <w:jc w:val="left"/>
            </w:pPr>
            <w:r>
              <w:rPr>
                <w:rFonts w:ascii="Segoe UI" w:hAnsi="Segoe UI"/>
                <w:b/>
                <w:color w:val="FFFFFF"/>
                <w:sz w:val="19"/>
              </w:rPr>
              <w:t>Contact Information</w:t>
            </w:r>
          </w:p>
        </w:tc>
      </w:tr>
      <w:tr>
        <w:tc>
          <w:tcPr>
            <w:tcW w:type="dxa" w:w="3600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Direct Helpline / WhatsApp Support</w:t>
            </w:r>
          </w:p>
        </w:tc>
        <w:tc>
          <w:tcPr>
            <w:tcW w:type="dxa" w:w="5760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+91 92393 97147</w:t>
            </w:r>
          </w:p>
        </w:tc>
      </w:tr>
      <w:tr>
        <w:tc>
          <w:tcPr>
            <w:tcW w:type="dxa" w:w="3600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Official Support Email</w:t>
            </w:r>
          </w:p>
        </w:tc>
        <w:tc>
          <w:tcPr>
            <w:tcW w:type="dxa" w:w="5760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codefyn@gmail.com / sales@codefyn.com</w:t>
            </w:r>
          </w:p>
        </w:tc>
      </w:tr>
      <w:tr>
        <w:tc>
          <w:tcPr>
            <w:tcW w:type="dxa" w:w="3600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Official Website &amp; Portal</w:t>
            </w:r>
          </w:p>
        </w:tc>
        <w:tc>
          <w:tcPr>
            <w:tcW w:type="dxa" w:w="5760"/>
            <w:shd w:fill="F8FAFC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https://www.codefyn.com</w:t>
            </w:r>
          </w:p>
        </w:tc>
      </w:tr>
      <w:tr>
        <w:tc>
          <w:tcPr>
            <w:tcW w:type="dxa" w:w="3600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Support Working Hours</w:t>
            </w:r>
          </w:p>
        </w:tc>
        <w:tc>
          <w:tcPr>
            <w:tcW w:type="dxa" w:w="5760"/>
            <w:shd w:fill="FFFFFF"/>
            <w:tcMar>
              <w:top w:w="120" w:type="dxa"/>
              <w:bottom w:w="120" w:type="dxa"/>
              <w:left w:w="180" w:type="dxa"/>
              <w:right w:w="180" w:type="dxa"/>
            </w:tcMar>
            <w:tcBorders>
              <w:top w:val="single" w:sz="4" w:space="0" w:color="CBD5E1"/>
              <w:left w:val="none"/>
              <w:bottom w:val="single" w:sz="4" w:space="0" w:color="CBD5E1"/>
              <w:right w:val="none"/>
            </w:tcBorders>
          </w:tcPr>
          <w:p>
            <w:r>
              <w:rPr>
                <w:rFonts w:ascii="Segoe UI" w:hAnsi="Segoe UI"/>
                <w:color w:val="334155"/>
                <w:sz w:val="18"/>
              </w:rPr>
              <w:t>Monday to Saturday | 9:00 AM to 8:00 PM IST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152" w:right="1296" w:bottom="1152" w:left="1296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94A3B8"/>
        <w:sz w:val="16"/>
      </w:rPr>
      <w:t>Confidential &amp; Proprietary © 2026 Codefyn Software Solutions. Helpline: +91 92393 97147 | Email: codefyn@gmail.com / sales@codefyn.com | www.codefyn.com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Segoe UI" w:hAnsi="Segoe UI"/>
        <w:color w:val="94A3B8"/>
        <w:sz w:val="17"/>
      </w:rPr>
      <w:t>FynAccounts ERP — Customer Installation &amp; User Manual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